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070" w:rsidRPr="000C2070" w:rsidRDefault="000C2070" w:rsidP="000C2070">
      <w:pPr>
        <w:spacing w:after="0" w:line="240" w:lineRule="auto"/>
        <w:jc w:val="center"/>
        <w:rPr>
          <w:rFonts w:ascii="Times New Roman" w:hAnsi="Times New Roman" w:cs="Times New Roman"/>
          <w:sz w:val="24"/>
          <w:szCs w:val="24"/>
        </w:rPr>
      </w:pPr>
      <w:r w:rsidRPr="000C2070">
        <w:rPr>
          <w:rFonts w:ascii="Times New Roman" w:hAnsi="Times New Roman" w:cs="Times New Roman"/>
          <w:b/>
          <w:sz w:val="24"/>
          <w:szCs w:val="24"/>
        </w:rPr>
        <w:t>ASCC SBS Panel</w:t>
      </w:r>
    </w:p>
    <w:p w:rsidR="000C2070" w:rsidRPr="000C2070" w:rsidRDefault="0025414E" w:rsidP="000C2070">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A</w:t>
      </w:r>
      <w:bookmarkStart w:id="0" w:name="_GoBack"/>
      <w:bookmarkEnd w:id="0"/>
      <w:r w:rsidR="002D4583">
        <w:rPr>
          <w:rFonts w:ascii="Times New Roman" w:eastAsia="Times New Roman" w:hAnsi="Times New Roman" w:cs="Times New Roman"/>
          <w:sz w:val="24"/>
          <w:szCs w:val="24"/>
        </w:rPr>
        <w:t>pproved</w:t>
      </w:r>
      <w:r w:rsidR="000C2070" w:rsidRPr="000C2070">
        <w:rPr>
          <w:rFonts w:ascii="Times New Roman" w:eastAsia="Times New Roman" w:hAnsi="Times New Roman" w:cs="Times New Roman"/>
          <w:sz w:val="24"/>
          <w:szCs w:val="24"/>
        </w:rPr>
        <w:t xml:space="preserve"> Minutes</w:t>
      </w:r>
    </w:p>
    <w:p w:rsidR="000C2070" w:rsidRPr="000C2070" w:rsidRDefault="000C2070" w:rsidP="000C2070">
      <w:pPr>
        <w:spacing w:after="0" w:line="240" w:lineRule="auto"/>
        <w:rPr>
          <w:rFonts w:ascii="Times New Roman" w:eastAsia="Times New Roman" w:hAnsi="Times New Roman" w:cs="Times New Roman"/>
          <w:sz w:val="24"/>
          <w:szCs w:val="24"/>
        </w:rPr>
      </w:pPr>
    </w:p>
    <w:p w:rsidR="000C2070" w:rsidRPr="000C2070" w:rsidRDefault="000C2070" w:rsidP="000C2070">
      <w:pPr>
        <w:spacing w:after="0" w:line="240" w:lineRule="auto"/>
        <w:rPr>
          <w:rFonts w:ascii="Times New Roman" w:hAnsi="Times New Roman" w:cs="Times New Roman"/>
          <w:sz w:val="24"/>
          <w:szCs w:val="24"/>
        </w:rPr>
      </w:pPr>
      <w:r w:rsidRPr="000C2070">
        <w:rPr>
          <w:rFonts w:ascii="Times New Roman" w:eastAsia="Times New Roman" w:hAnsi="Times New Roman" w:cs="Times New Roman"/>
          <w:sz w:val="24"/>
          <w:szCs w:val="24"/>
        </w:rPr>
        <w:t xml:space="preserve">Monday, </w:t>
      </w:r>
      <w:r w:rsidR="00DF6C59">
        <w:rPr>
          <w:rFonts w:ascii="Times New Roman" w:eastAsia="Times New Roman" w:hAnsi="Times New Roman" w:cs="Times New Roman"/>
          <w:sz w:val="24"/>
          <w:szCs w:val="24"/>
        </w:rPr>
        <w:t>February 6</w:t>
      </w:r>
      <w:r w:rsidRPr="000C2070">
        <w:rPr>
          <w:rFonts w:ascii="Times New Roman" w:eastAsia="Times New Roman" w:hAnsi="Times New Roman" w:cs="Times New Roman"/>
          <w:sz w:val="24"/>
          <w:szCs w:val="24"/>
        </w:rPr>
        <w:t>, 2017</w:t>
      </w:r>
      <w:r w:rsidRPr="000C2070">
        <w:rPr>
          <w:rFonts w:ascii="Times New Roman" w:eastAsia="Times New Roman" w:hAnsi="Times New Roman" w:cs="Times New Roman"/>
          <w:sz w:val="24"/>
          <w:szCs w:val="24"/>
        </w:rPr>
        <w:tab/>
      </w:r>
      <w:r w:rsidRPr="000C2070">
        <w:rPr>
          <w:rFonts w:ascii="Times New Roman" w:eastAsia="Times New Roman" w:hAnsi="Times New Roman" w:cs="Times New Roman"/>
          <w:sz w:val="24"/>
          <w:szCs w:val="24"/>
        </w:rPr>
        <w:tab/>
      </w:r>
      <w:r w:rsidRPr="000C2070">
        <w:rPr>
          <w:rFonts w:ascii="Times New Roman" w:eastAsia="Times New Roman" w:hAnsi="Times New Roman" w:cs="Times New Roman"/>
          <w:sz w:val="24"/>
          <w:szCs w:val="24"/>
        </w:rPr>
        <w:tab/>
      </w:r>
      <w:r w:rsidRPr="000C2070">
        <w:rPr>
          <w:rFonts w:ascii="Times New Roman" w:eastAsia="Times New Roman" w:hAnsi="Times New Roman" w:cs="Times New Roman"/>
          <w:sz w:val="24"/>
          <w:szCs w:val="24"/>
        </w:rPr>
        <w:tab/>
      </w:r>
      <w:r w:rsidRPr="000C2070">
        <w:rPr>
          <w:rFonts w:ascii="Times New Roman" w:eastAsia="Times New Roman" w:hAnsi="Times New Roman" w:cs="Times New Roman"/>
          <w:sz w:val="24"/>
          <w:szCs w:val="24"/>
        </w:rPr>
        <w:tab/>
      </w:r>
      <w:r w:rsidRPr="000C2070">
        <w:rPr>
          <w:rFonts w:ascii="Times New Roman" w:eastAsia="Times New Roman" w:hAnsi="Times New Roman" w:cs="Times New Roman"/>
          <w:sz w:val="24"/>
          <w:szCs w:val="24"/>
        </w:rPr>
        <w:tab/>
        <w:t>9:45 -11:15 AM</w:t>
      </w:r>
    </w:p>
    <w:p w:rsidR="000C2070" w:rsidRPr="000C2070" w:rsidRDefault="000C2070" w:rsidP="000C2070">
      <w:pPr>
        <w:spacing w:after="0" w:line="240" w:lineRule="auto"/>
        <w:rPr>
          <w:rFonts w:ascii="Times New Roman" w:hAnsi="Times New Roman" w:cs="Times New Roman"/>
          <w:sz w:val="24"/>
          <w:szCs w:val="24"/>
        </w:rPr>
      </w:pPr>
      <w:r w:rsidRPr="000C2070">
        <w:rPr>
          <w:rFonts w:ascii="Times New Roman" w:eastAsia="Times New Roman" w:hAnsi="Times New Roman" w:cs="Times New Roman"/>
          <w:sz w:val="24"/>
          <w:szCs w:val="24"/>
        </w:rPr>
        <w:t>110 Denney Hall</w:t>
      </w:r>
    </w:p>
    <w:p w:rsidR="000C2070" w:rsidRPr="000C2070" w:rsidRDefault="000C2070" w:rsidP="000C2070">
      <w:pPr>
        <w:spacing w:after="0" w:line="240" w:lineRule="auto"/>
        <w:rPr>
          <w:rFonts w:ascii="Times New Roman" w:eastAsia="Times New Roman" w:hAnsi="Times New Roman" w:cs="Times New Roman"/>
          <w:sz w:val="24"/>
          <w:szCs w:val="24"/>
        </w:rPr>
      </w:pPr>
    </w:p>
    <w:p w:rsidR="000C2070" w:rsidRPr="000C2070" w:rsidRDefault="000C2070" w:rsidP="000C2070">
      <w:pPr>
        <w:spacing w:after="0" w:line="240" w:lineRule="auto"/>
        <w:rPr>
          <w:rFonts w:ascii="Times New Roman" w:hAnsi="Times New Roman" w:cs="Times New Roman"/>
          <w:sz w:val="24"/>
          <w:szCs w:val="24"/>
        </w:rPr>
      </w:pPr>
      <w:r w:rsidRPr="000C2070">
        <w:rPr>
          <w:rFonts w:ascii="Times New Roman" w:eastAsia="Times New Roman" w:hAnsi="Times New Roman" w:cs="Times New Roman"/>
          <w:sz w:val="24"/>
          <w:szCs w:val="24"/>
        </w:rPr>
        <w:t>ATTENDEES:  Givens, Haddad, Kline, Lam, Oldroyd, Roup, Valle, Vankeerbergen</w:t>
      </w:r>
    </w:p>
    <w:p w:rsidR="000C2070" w:rsidRPr="000C2070" w:rsidRDefault="000C2070" w:rsidP="000C2070">
      <w:pPr>
        <w:pStyle w:val="NormalWeb"/>
        <w:spacing w:before="0" w:after="0"/>
      </w:pPr>
    </w:p>
    <w:p w:rsidR="000C2070" w:rsidRPr="000C2070" w:rsidRDefault="000C2070" w:rsidP="000C2070">
      <w:pPr>
        <w:pStyle w:val="NormalWeb"/>
        <w:spacing w:before="0" w:after="0"/>
      </w:pPr>
      <w:r w:rsidRPr="000C2070">
        <w:t>AGENDA:</w:t>
      </w:r>
    </w:p>
    <w:p w:rsidR="000C2070" w:rsidRDefault="000C2070" w:rsidP="000C2070">
      <w:pPr>
        <w:numPr>
          <w:ilvl w:val="0"/>
          <w:numId w:val="3"/>
        </w:numPr>
        <w:spacing w:after="0" w:line="240" w:lineRule="auto"/>
        <w:rPr>
          <w:rFonts w:ascii="Times New Roman" w:hAnsi="Times New Roman" w:cs="Times New Roman"/>
          <w:sz w:val="24"/>
          <w:szCs w:val="24"/>
        </w:rPr>
      </w:pPr>
      <w:r w:rsidRPr="000C2070">
        <w:rPr>
          <w:rFonts w:ascii="Times New Roman" w:hAnsi="Times New Roman" w:cs="Times New Roman"/>
          <w:sz w:val="24"/>
          <w:szCs w:val="24"/>
        </w:rPr>
        <w:t xml:space="preserve">Approval of 1-23-17 minutes </w:t>
      </w:r>
    </w:p>
    <w:p w:rsidR="000C2070" w:rsidRDefault="00142989" w:rsidP="000C2070">
      <w:pPr>
        <w:pStyle w:val="ListParagraph"/>
        <w:numPr>
          <w:ilvl w:val="0"/>
          <w:numId w:val="6"/>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Roup, Givens, </w:t>
      </w:r>
      <w:r w:rsidR="008D6E1D">
        <w:rPr>
          <w:rFonts w:ascii="Times New Roman" w:hAnsi="Times New Roman" w:cs="Times New Roman"/>
          <w:b/>
          <w:sz w:val="24"/>
          <w:szCs w:val="24"/>
        </w:rPr>
        <w:t>unanimously a</w:t>
      </w:r>
      <w:r w:rsidRPr="00E72157">
        <w:rPr>
          <w:rFonts w:ascii="Times New Roman" w:hAnsi="Times New Roman" w:cs="Times New Roman"/>
          <w:b/>
          <w:sz w:val="24"/>
          <w:szCs w:val="24"/>
        </w:rPr>
        <w:t>pproved</w:t>
      </w:r>
    </w:p>
    <w:p w:rsidR="00142989" w:rsidRPr="00142989" w:rsidRDefault="00142989" w:rsidP="00142989">
      <w:pPr>
        <w:spacing w:after="0" w:line="240" w:lineRule="auto"/>
        <w:rPr>
          <w:rFonts w:ascii="Times New Roman" w:hAnsi="Times New Roman" w:cs="Times New Roman"/>
          <w:sz w:val="24"/>
          <w:szCs w:val="24"/>
        </w:rPr>
      </w:pPr>
    </w:p>
    <w:p w:rsidR="000C2070" w:rsidRDefault="000C2070" w:rsidP="000C2070">
      <w:pPr>
        <w:numPr>
          <w:ilvl w:val="0"/>
          <w:numId w:val="3"/>
        </w:numPr>
        <w:spacing w:after="0" w:line="240" w:lineRule="auto"/>
        <w:rPr>
          <w:rFonts w:ascii="Times New Roman" w:hAnsi="Times New Roman" w:cs="Times New Roman"/>
          <w:sz w:val="24"/>
          <w:szCs w:val="24"/>
        </w:rPr>
      </w:pPr>
      <w:r w:rsidRPr="000C2070">
        <w:rPr>
          <w:rFonts w:ascii="Times New Roman" w:hAnsi="Times New Roman" w:cs="Times New Roman"/>
          <w:sz w:val="24"/>
          <w:szCs w:val="24"/>
        </w:rPr>
        <w:t xml:space="preserve">Economics 5261 (new course) </w:t>
      </w:r>
    </w:p>
    <w:p w:rsidR="00490292" w:rsidRPr="00617891" w:rsidRDefault="00490292" w:rsidP="000C2070">
      <w:pPr>
        <w:pStyle w:val="ListParagraph"/>
        <w:numPr>
          <w:ilvl w:val="0"/>
          <w:numId w:val="6"/>
        </w:numPr>
        <w:spacing w:after="0" w:line="240" w:lineRule="auto"/>
        <w:ind w:left="1080"/>
        <w:rPr>
          <w:rFonts w:ascii="Times New Roman" w:hAnsi="Times New Roman" w:cs="Times New Roman"/>
          <w:b/>
          <w:sz w:val="24"/>
          <w:szCs w:val="24"/>
        </w:rPr>
      </w:pPr>
      <w:r>
        <w:rPr>
          <w:rFonts w:ascii="Times New Roman" w:hAnsi="Times New Roman" w:cs="Times New Roman"/>
          <w:sz w:val="24"/>
          <w:szCs w:val="24"/>
        </w:rPr>
        <w:t xml:space="preserve">Political Science, Psychology and John Glenn College on list of concurrences, but Economics did not provide </w:t>
      </w:r>
      <w:r w:rsidR="0017286A">
        <w:rPr>
          <w:rFonts w:ascii="Times New Roman" w:hAnsi="Times New Roman" w:cs="Times New Roman"/>
          <w:sz w:val="24"/>
          <w:szCs w:val="24"/>
        </w:rPr>
        <w:t xml:space="preserve">the </w:t>
      </w:r>
      <w:r>
        <w:rPr>
          <w:rFonts w:ascii="Times New Roman" w:hAnsi="Times New Roman" w:cs="Times New Roman"/>
          <w:sz w:val="24"/>
          <w:szCs w:val="24"/>
        </w:rPr>
        <w:t>request</w:t>
      </w:r>
      <w:r w:rsidR="0017286A">
        <w:rPr>
          <w:rFonts w:ascii="Times New Roman" w:hAnsi="Times New Roman" w:cs="Times New Roman"/>
          <w:sz w:val="24"/>
          <w:szCs w:val="24"/>
        </w:rPr>
        <w:t>s</w:t>
      </w:r>
      <w:r>
        <w:rPr>
          <w:rFonts w:ascii="Times New Roman" w:hAnsi="Times New Roman" w:cs="Times New Roman"/>
          <w:sz w:val="24"/>
          <w:szCs w:val="24"/>
        </w:rPr>
        <w:t xml:space="preserve"> for concurrence from these units. </w:t>
      </w:r>
      <w:r w:rsidRPr="00617891">
        <w:rPr>
          <w:rFonts w:ascii="Times New Roman" w:hAnsi="Times New Roman" w:cs="Times New Roman"/>
          <w:b/>
          <w:sz w:val="24"/>
          <w:szCs w:val="24"/>
        </w:rPr>
        <w:t xml:space="preserve">The panel needs to see the emails sent and an explanation that the units did not respond to the request for concurrence, if that is the case. </w:t>
      </w:r>
    </w:p>
    <w:p w:rsidR="00490292" w:rsidRDefault="00490292" w:rsidP="000C2070">
      <w:pPr>
        <w:pStyle w:val="ListParagraph"/>
        <w:numPr>
          <w:ilvl w:val="0"/>
          <w:numId w:val="6"/>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Fisher College of Business declined concurrence, but indicated they would follow up with Economics.</w:t>
      </w:r>
    </w:p>
    <w:p w:rsidR="00617891" w:rsidRDefault="00617891" w:rsidP="00490292">
      <w:pPr>
        <w:pStyle w:val="ListParagraph"/>
        <w:numPr>
          <w:ilvl w:val="1"/>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Fisher believes that 5261/5262 would be redundant courses. Fisher offers Business Finance 4265 </w:t>
      </w:r>
      <w:r w:rsidR="0075765E">
        <w:rPr>
          <w:rFonts w:ascii="Times New Roman" w:hAnsi="Times New Roman" w:cs="Times New Roman"/>
          <w:sz w:val="24"/>
          <w:szCs w:val="24"/>
        </w:rPr>
        <w:t>“</w:t>
      </w:r>
      <w:r>
        <w:rPr>
          <w:rFonts w:ascii="Times New Roman" w:hAnsi="Times New Roman" w:cs="Times New Roman"/>
          <w:sz w:val="24"/>
          <w:szCs w:val="24"/>
        </w:rPr>
        <w:t>Financial Institutions</w:t>
      </w:r>
      <w:r w:rsidR="0075765E">
        <w:rPr>
          <w:rFonts w:ascii="Times New Roman" w:hAnsi="Times New Roman" w:cs="Times New Roman"/>
          <w:sz w:val="24"/>
          <w:szCs w:val="24"/>
        </w:rPr>
        <w:t xml:space="preserve">” </w:t>
      </w:r>
      <w:r>
        <w:rPr>
          <w:rFonts w:ascii="Times New Roman" w:hAnsi="Times New Roman" w:cs="Times New Roman"/>
          <w:sz w:val="24"/>
          <w:szCs w:val="24"/>
        </w:rPr>
        <w:t xml:space="preserve">which uses the textbook written by Prof. </w:t>
      </w:r>
      <w:proofErr w:type="spellStart"/>
      <w:r>
        <w:rPr>
          <w:rFonts w:ascii="Times New Roman" w:hAnsi="Times New Roman" w:cs="Times New Roman"/>
          <w:sz w:val="24"/>
          <w:szCs w:val="24"/>
        </w:rPr>
        <w:t>Brandl</w:t>
      </w:r>
      <w:proofErr w:type="spellEnd"/>
      <w:r>
        <w:rPr>
          <w:rFonts w:ascii="Times New Roman" w:hAnsi="Times New Roman" w:cs="Times New Roman"/>
          <w:sz w:val="24"/>
          <w:szCs w:val="24"/>
        </w:rPr>
        <w:t>. While the cours</w:t>
      </w:r>
      <w:r w:rsidR="008B26F1">
        <w:rPr>
          <w:rFonts w:ascii="Times New Roman" w:hAnsi="Times New Roman" w:cs="Times New Roman"/>
          <w:sz w:val="24"/>
          <w:szCs w:val="24"/>
        </w:rPr>
        <w:t>es have thematic similarities, Economics and F</w:t>
      </w:r>
      <w:r>
        <w:rPr>
          <w:rFonts w:ascii="Times New Roman" w:hAnsi="Times New Roman" w:cs="Times New Roman"/>
          <w:sz w:val="24"/>
          <w:szCs w:val="24"/>
        </w:rPr>
        <w:t xml:space="preserve">inance take a different approach to teaching the content. </w:t>
      </w:r>
      <w:r w:rsidR="008464E0">
        <w:rPr>
          <w:rFonts w:ascii="Times New Roman" w:hAnsi="Times New Roman" w:cs="Times New Roman"/>
          <w:sz w:val="24"/>
          <w:szCs w:val="24"/>
        </w:rPr>
        <w:t xml:space="preserve">Furthermore, professor </w:t>
      </w:r>
      <w:proofErr w:type="spellStart"/>
      <w:r w:rsidR="008464E0">
        <w:rPr>
          <w:rFonts w:ascii="Times New Roman" w:hAnsi="Times New Roman" w:cs="Times New Roman"/>
          <w:sz w:val="24"/>
          <w:szCs w:val="24"/>
        </w:rPr>
        <w:t>Brandl</w:t>
      </w:r>
      <w:proofErr w:type="spellEnd"/>
      <w:r w:rsidR="008464E0">
        <w:rPr>
          <w:rFonts w:ascii="Times New Roman" w:hAnsi="Times New Roman" w:cs="Times New Roman"/>
          <w:sz w:val="24"/>
          <w:szCs w:val="24"/>
        </w:rPr>
        <w:t xml:space="preserve"> makes the argument that Business Finance is taught by outside instructors. </w:t>
      </w:r>
      <w:r>
        <w:rPr>
          <w:rFonts w:ascii="Times New Roman" w:hAnsi="Times New Roman" w:cs="Times New Roman"/>
          <w:sz w:val="24"/>
          <w:szCs w:val="24"/>
        </w:rPr>
        <w:t>Additionally, the courses are designed for different set</w:t>
      </w:r>
      <w:r w:rsidR="008464E0">
        <w:rPr>
          <w:rFonts w:ascii="Times New Roman" w:hAnsi="Times New Roman" w:cs="Times New Roman"/>
          <w:sz w:val="24"/>
          <w:szCs w:val="24"/>
        </w:rPr>
        <w:t>s</w:t>
      </w:r>
      <w:r>
        <w:rPr>
          <w:rFonts w:ascii="Times New Roman" w:hAnsi="Times New Roman" w:cs="Times New Roman"/>
          <w:sz w:val="24"/>
          <w:szCs w:val="24"/>
        </w:rPr>
        <w:t xml:space="preserve"> of students, require different prerequisites, and are unlikely to compete for the same students. </w:t>
      </w:r>
    </w:p>
    <w:p w:rsidR="00490292" w:rsidRDefault="00617891" w:rsidP="00490292">
      <w:pPr>
        <w:pStyle w:val="ListParagraph"/>
        <w:numPr>
          <w:ilvl w:val="1"/>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Panel needs the record of </w:t>
      </w:r>
      <w:r w:rsidR="00490292" w:rsidRPr="00617891">
        <w:rPr>
          <w:rFonts w:ascii="Times New Roman" w:hAnsi="Times New Roman" w:cs="Times New Roman"/>
          <w:b/>
          <w:sz w:val="24"/>
          <w:szCs w:val="24"/>
        </w:rPr>
        <w:t xml:space="preserve">the follow-up conversations that occurred and the outcomes of any correspondence before proceeding. </w:t>
      </w:r>
    </w:p>
    <w:p w:rsidR="00617891" w:rsidRDefault="00617891" w:rsidP="005526EA">
      <w:pPr>
        <w:pStyle w:val="ListParagraph"/>
        <w:numPr>
          <w:ilvl w:val="0"/>
          <w:numId w:val="6"/>
        </w:numPr>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Need correct grade breakdown. Grade determination, listed on page 2 of the syllabus, states that there are 5 homework assignments and 3 exams during the semester. The course schedule lists 6 homework assignments and only 2 midterm exams. </w:t>
      </w:r>
    </w:p>
    <w:p w:rsidR="005526EA" w:rsidRDefault="00617891" w:rsidP="005526EA">
      <w:pPr>
        <w:pStyle w:val="ListParagraph"/>
        <w:numPr>
          <w:ilvl w:val="0"/>
          <w:numId w:val="6"/>
        </w:numPr>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Panel would like clarification on the required read</w:t>
      </w:r>
      <w:r w:rsidR="005526EA">
        <w:rPr>
          <w:rFonts w:ascii="Times New Roman" w:hAnsi="Times New Roman" w:cs="Times New Roman"/>
          <w:b/>
          <w:sz w:val="24"/>
          <w:szCs w:val="24"/>
        </w:rPr>
        <w:t xml:space="preserve">ings. Are students required to purchase a textbook or are selected chapters of textbooks available on Carmen? Additionally, readings for weeks 7 to 14 are listed as “TBA.” Please indicate sample </w:t>
      </w:r>
      <w:r w:rsidR="0075765E">
        <w:rPr>
          <w:rFonts w:ascii="Times New Roman" w:hAnsi="Times New Roman" w:cs="Times New Roman"/>
          <w:b/>
          <w:sz w:val="24"/>
          <w:szCs w:val="24"/>
        </w:rPr>
        <w:t>readings that</w:t>
      </w:r>
      <w:r w:rsidR="005526EA">
        <w:rPr>
          <w:rFonts w:ascii="Times New Roman" w:hAnsi="Times New Roman" w:cs="Times New Roman"/>
          <w:b/>
          <w:sz w:val="24"/>
          <w:szCs w:val="24"/>
        </w:rPr>
        <w:t xml:space="preserve"> may be chosen for these weeks for the panel to review. </w:t>
      </w:r>
    </w:p>
    <w:p w:rsidR="005526EA" w:rsidRDefault="005526EA" w:rsidP="005526EA">
      <w:pPr>
        <w:pStyle w:val="ListParagraph"/>
        <w:numPr>
          <w:ilvl w:val="0"/>
          <w:numId w:val="6"/>
        </w:numPr>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Provide contact hours for the course</w:t>
      </w:r>
    </w:p>
    <w:p w:rsidR="005526EA" w:rsidRPr="005526EA" w:rsidRDefault="005526EA" w:rsidP="005526EA">
      <w:pPr>
        <w:pStyle w:val="ListParagraph"/>
        <w:numPr>
          <w:ilvl w:val="0"/>
          <w:numId w:val="6"/>
        </w:numPr>
        <w:spacing w:after="0" w:line="240" w:lineRule="auto"/>
        <w:ind w:left="1080"/>
        <w:rPr>
          <w:rFonts w:ascii="Times New Roman" w:hAnsi="Times New Roman" w:cs="Times New Roman"/>
          <w:b/>
          <w:sz w:val="24"/>
          <w:szCs w:val="24"/>
        </w:rPr>
      </w:pPr>
      <w:r w:rsidRPr="005526EA">
        <w:rPr>
          <w:rFonts w:ascii="Times New Roman" w:hAnsi="Times New Roman" w:cs="Times New Roman"/>
          <w:b/>
          <w:sz w:val="24"/>
          <w:szCs w:val="24"/>
        </w:rPr>
        <w:t xml:space="preserve">Disability </w:t>
      </w:r>
      <w:r w:rsidRPr="005526EA">
        <w:rPr>
          <w:rFonts w:ascii="Times New Roman" w:hAnsi="Times New Roman" w:cs="Times New Roman"/>
          <w:b/>
          <w:color w:val="222222"/>
          <w:sz w:val="24"/>
          <w:szCs w:val="24"/>
        </w:rPr>
        <w:t xml:space="preserve">statement includes former location in </w:t>
      </w:r>
      <w:proofErr w:type="spellStart"/>
      <w:r w:rsidRPr="005526EA">
        <w:rPr>
          <w:rFonts w:ascii="Times New Roman" w:hAnsi="Times New Roman" w:cs="Times New Roman"/>
          <w:b/>
          <w:color w:val="222222"/>
          <w:sz w:val="24"/>
          <w:szCs w:val="24"/>
        </w:rPr>
        <w:t>Pomerene</w:t>
      </w:r>
      <w:proofErr w:type="spellEnd"/>
      <w:r w:rsidRPr="005526EA">
        <w:rPr>
          <w:rFonts w:ascii="Times New Roman" w:hAnsi="Times New Roman" w:cs="Times New Roman"/>
          <w:b/>
          <w:color w:val="222222"/>
          <w:sz w:val="24"/>
          <w:szCs w:val="24"/>
        </w:rPr>
        <w:t xml:space="preserve"> Hall</w:t>
      </w:r>
      <w:r>
        <w:rPr>
          <w:rFonts w:ascii="Times New Roman" w:hAnsi="Times New Roman" w:cs="Times New Roman"/>
          <w:b/>
          <w:color w:val="222222"/>
          <w:sz w:val="24"/>
          <w:szCs w:val="24"/>
        </w:rPr>
        <w:t xml:space="preserve"> and a broken link to the Office of Disability Services</w:t>
      </w:r>
      <w:r w:rsidRPr="005526EA">
        <w:rPr>
          <w:rFonts w:ascii="Times New Roman" w:hAnsi="Times New Roman" w:cs="Times New Roman"/>
          <w:b/>
          <w:color w:val="222222"/>
          <w:sz w:val="24"/>
          <w:szCs w:val="24"/>
        </w:rPr>
        <w:t>. Please update to include current location i</w:t>
      </w:r>
      <w:r w:rsidRPr="005526EA">
        <w:rPr>
          <w:rFonts w:ascii="Times New Roman" w:hAnsi="Times New Roman" w:cs="Times New Roman"/>
          <w:b/>
          <w:sz w:val="24"/>
          <w:szCs w:val="24"/>
        </w:rPr>
        <w:t xml:space="preserve">n 098 Baker Hall, 113 W. 12th Avenue. See p. 15 of ASC Curriculum and Assessment Operations Manual </w:t>
      </w:r>
      <w:hyperlink r:id="rId5" w:history="1">
        <w:r w:rsidRPr="005526EA">
          <w:rPr>
            <w:rStyle w:val="Hyperlink"/>
            <w:rFonts w:ascii="Times New Roman" w:hAnsi="Times New Roman" w:cs="Times New Roman"/>
            <w:b/>
            <w:sz w:val="24"/>
            <w:szCs w:val="24"/>
          </w:rPr>
          <w:t>https://asccas.osu.edu/sites/asccas.osu.edu/files/ASC_CurrAssess_Operations_Manual.pdf</w:t>
        </w:r>
      </w:hyperlink>
    </w:p>
    <w:p w:rsidR="005526EA" w:rsidRPr="00D203E2" w:rsidRDefault="005526EA" w:rsidP="00D203E2">
      <w:pPr>
        <w:pStyle w:val="ListParagraph"/>
        <w:numPr>
          <w:ilvl w:val="0"/>
          <w:numId w:val="6"/>
        </w:numPr>
        <w:spacing w:after="0" w:line="240" w:lineRule="auto"/>
        <w:ind w:left="1080"/>
        <w:rPr>
          <w:rFonts w:ascii="Times New Roman" w:hAnsi="Times New Roman" w:cs="Times New Roman"/>
          <w:b/>
          <w:sz w:val="24"/>
          <w:szCs w:val="24"/>
        </w:rPr>
      </w:pPr>
      <w:r>
        <w:rPr>
          <w:rFonts w:ascii="Times New Roman" w:hAnsi="Times New Roman" w:cs="Times New Roman"/>
          <w:i/>
          <w:sz w:val="24"/>
          <w:szCs w:val="24"/>
        </w:rPr>
        <w:t xml:space="preserve">Panel comment: While it is ultimately the decision of the professor teaching the course, the panel is concerned </w:t>
      </w:r>
      <w:r w:rsidR="00D203E2">
        <w:rPr>
          <w:rFonts w:ascii="Times New Roman" w:hAnsi="Times New Roman" w:cs="Times New Roman"/>
          <w:i/>
          <w:sz w:val="24"/>
          <w:szCs w:val="24"/>
        </w:rPr>
        <w:t xml:space="preserve">that students are being graded relative to other </w:t>
      </w:r>
      <w:r w:rsidR="00D203E2">
        <w:rPr>
          <w:rFonts w:ascii="Times New Roman" w:hAnsi="Times New Roman" w:cs="Times New Roman"/>
          <w:i/>
          <w:sz w:val="24"/>
          <w:szCs w:val="24"/>
        </w:rPr>
        <w:lastRenderedPageBreak/>
        <w:t xml:space="preserve">students and not by their own work. The syllabus indicates that generally a certain percent of students will receive As, </w:t>
      </w:r>
      <w:proofErr w:type="spellStart"/>
      <w:r w:rsidR="00D203E2">
        <w:rPr>
          <w:rFonts w:ascii="Times New Roman" w:hAnsi="Times New Roman" w:cs="Times New Roman"/>
          <w:i/>
          <w:sz w:val="24"/>
          <w:szCs w:val="24"/>
        </w:rPr>
        <w:t>Bs</w:t>
      </w:r>
      <w:proofErr w:type="spellEnd"/>
      <w:r w:rsidR="00D203E2">
        <w:rPr>
          <w:rFonts w:ascii="Times New Roman" w:hAnsi="Times New Roman" w:cs="Times New Roman"/>
          <w:i/>
          <w:sz w:val="24"/>
          <w:szCs w:val="24"/>
        </w:rPr>
        <w:t xml:space="preserve">, Cs, Ds and </w:t>
      </w:r>
      <w:proofErr w:type="spellStart"/>
      <w:r w:rsidR="00D203E2">
        <w:rPr>
          <w:rFonts w:ascii="Times New Roman" w:hAnsi="Times New Roman" w:cs="Times New Roman"/>
          <w:i/>
          <w:sz w:val="24"/>
          <w:szCs w:val="24"/>
        </w:rPr>
        <w:t>Es</w:t>
      </w:r>
      <w:proofErr w:type="spellEnd"/>
      <w:r w:rsidR="00D203E2">
        <w:rPr>
          <w:rFonts w:ascii="Times New Roman" w:hAnsi="Times New Roman" w:cs="Times New Roman"/>
          <w:i/>
          <w:sz w:val="24"/>
          <w:szCs w:val="24"/>
        </w:rPr>
        <w:t xml:space="preserve">. </w:t>
      </w:r>
    </w:p>
    <w:p w:rsidR="00B877E2" w:rsidRDefault="00B877E2" w:rsidP="005526EA">
      <w:pPr>
        <w:pStyle w:val="ListParagraph"/>
        <w:numPr>
          <w:ilvl w:val="0"/>
          <w:numId w:val="6"/>
        </w:numPr>
        <w:spacing w:after="0" w:line="240" w:lineRule="auto"/>
        <w:ind w:left="1080"/>
        <w:rPr>
          <w:rFonts w:ascii="Times New Roman" w:hAnsi="Times New Roman" w:cs="Times New Roman"/>
          <w:i/>
          <w:sz w:val="24"/>
          <w:szCs w:val="24"/>
        </w:rPr>
      </w:pPr>
      <w:r>
        <w:rPr>
          <w:rFonts w:ascii="Times New Roman" w:hAnsi="Times New Roman" w:cs="Times New Roman"/>
          <w:b/>
          <w:sz w:val="24"/>
          <w:szCs w:val="24"/>
        </w:rPr>
        <w:t>No vote</w:t>
      </w:r>
    </w:p>
    <w:p w:rsidR="00B877E2" w:rsidRPr="00B877E2" w:rsidRDefault="00B877E2" w:rsidP="00B877E2">
      <w:pPr>
        <w:spacing w:after="0" w:line="240" w:lineRule="auto"/>
        <w:rPr>
          <w:rFonts w:ascii="Times New Roman" w:hAnsi="Times New Roman" w:cs="Times New Roman"/>
          <w:i/>
          <w:sz w:val="24"/>
          <w:szCs w:val="24"/>
        </w:rPr>
      </w:pPr>
    </w:p>
    <w:p w:rsidR="000C2070" w:rsidRPr="000C2070" w:rsidRDefault="000C2070" w:rsidP="000C2070">
      <w:pPr>
        <w:numPr>
          <w:ilvl w:val="0"/>
          <w:numId w:val="3"/>
        </w:numPr>
        <w:spacing w:after="0" w:line="240" w:lineRule="auto"/>
        <w:rPr>
          <w:rFonts w:ascii="Times New Roman" w:hAnsi="Times New Roman" w:cs="Times New Roman"/>
          <w:sz w:val="24"/>
          <w:szCs w:val="24"/>
        </w:rPr>
      </w:pPr>
      <w:r w:rsidRPr="000C2070">
        <w:rPr>
          <w:rFonts w:ascii="Times New Roman" w:hAnsi="Times New Roman" w:cs="Times New Roman"/>
          <w:sz w:val="24"/>
          <w:szCs w:val="24"/>
        </w:rPr>
        <w:t xml:space="preserve">Economics 5262 (new course) </w:t>
      </w:r>
    </w:p>
    <w:p w:rsidR="005154A3" w:rsidRPr="00617891" w:rsidRDefault="005154A3" w:rsidP="005154A3">
      <w:pPr>
        <w:pStyle w:val="ListParagraph"/>
        <w:numPr>
          <w:ilvl w:val="0"/>
          <w:numId w:val="6"/>
        </w:numPr>
        <w:spacing w:after="0" w:line="240" w:lineRule="auto"/>
        <w:ind w:left="1080"/>
        <w:rPr>
          <w:rFonts w:ascii="Times New Roman" w:hAnsi="Times New Roman" w:cs="Times New Roman"/>
          <w:b/>
          <w:sz w:val="24"/>
          <w:szCs w:val="24"/>
        </w:rPr>
      </w:pPr>
      <w:r>
        <w:rPr>
          <w:rFonts w:ascii="Times New Roman" w:hAnsi="Times New Roman" w:cs="Times New Roman"/>
          <w:sz w:val="24"/>
          <w:szCs w:val="24"/>
        </w:rPr>
        <w:t>Political Science, Psychology and John Glenn College on list of concurrences, but Economics did not provide</w:t>
      </w:r>
      <w:r w:rsidR="0017286A">
        <w:rPr>
          <w:rFonts w:ascii="Times New Roman" w:hAnsi="Times New Roman" w:cs="Times New Roman"/>
          <w:sz w:val="24"/>
          <w:szCs w:val="24"/>
        </w:rPr>
        <w:t xml:space="preserve"> the</w:t>
      </w:r>
      <w:r>
        <w:rPr>
          <w:rFonts w:ascii="Times New Roman" w:hAnsi="Times New Roman" w:cs="Times New Roman"/>
          <w:sz w:val="24"/>
          <w:szCs w:val="24"/>
        </w:rPr>
        <w:t xml:space="preserve"> request</w:t>
      </w:r>
      <w:r w:rsidR="0017286A">
        <w:rPr>
          <w:rFonts w:ascii="Times New Roman" w:hAnsi="Times New Roman" w:cs="Times New Roman"/>
          <w:sz w:val="24"/>
          <w:szCs w:val="24"/>
        </w:rPr>
        <w:t>s</w:t>
      </w:r>
      <w:r>
        <w:rPr>
          <w:rFonts w:ascii="Times New Roman" w:hAnsi="Times New Roman" w:cs="Times New Roman"/>
          <w:sz w:val="24"/>
          <w:szCs w:val="24"/>
        </w:rPr>
        <w:t xml:space="preserve"> for concurrence from these units. </w:t>
      </w:r>
      <w:r w:rsidRPr="00617891">
        <w:rPr>
          <w:rFonts w:ascii="Times New Roman" w:hAnsi="Times New Roman" w:cs="Times New Roman"/>
          <w:b/>
          <w:sz w:val="24"/>
          <w:szCs w:val="24"/>
        </w:rPr>
        <w:t xml:space="preserve">The panel needs to see the emails sent and an explanation that the units did not respond to the request for concurrence, if that is the case. </w:t>
      </w:r>
    </w:p>
    <w:p w:rsidR="005154A3" w:rsidRDefault="005154A3" w:rsidP="005154A3">
      <w:pPr>
        <w:pStyle w:val="ListParagraph"/>
        <w:numPr>
          <w:ilvl w:val="0"/>
          <w:numId w:val="6"/>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Fisher College of Business declined concurrence, but indicated they would follow up with Economics.</w:t>
      </w:r>
    </w:p>
    <w:p w:rsidR="008464E0" w:rsidRDefault="008464E0" w:rsidP="008464E0">
      <w:pPr>
        <w:pStyle w:val="ListParagraph"/>
        <w:numPr>
          <w:ilvl w:val="1"/>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Fisher believes that 5261/5262 would be redundant courses. Fisher offers Business Finance 4265 “Financial Institutions” which uses the textbook written by Prof. </w:t>
      </w:r>
      <w:proofErr w:type="spellStart"/>
      <w:r>
        <w:rPr>
          <w:rFonts w:ascii="Times New Roman" w:hAnsi="Times New Roman" w:cs="Times New Roman"/>
          <w:sz w:val="24"/>
          <w:szCs w:val="24"/>
        </w:rPr>
        <w:t>Brandl</w:t>
      </w:r>
      <w:proofErr w:type="spellEnd"/>
      <w:r>
        <w:rPr>
          <w:rFonts w:ascii="Times New Roman" w:hAnsi="Times New Roman" w:cs="Times New Roman"/>
          <w:sz w:val="24"/>
          <w:szCs w:val="24"/>
        </w:rPr>
        <w:t>. While the cours</w:t>
      </w:r>
      <w:r w:rsidR="008B26F1">
        <w:rPr>
          <w:rFonts w:ascii="Times New Roman" w:hAnsi="Times New Roman" w:cs="Times New Roman"/>
          <w:sz w:val="24"/>
          <w:szCs w:val="24"/>
        </w:rPr>
        <w:t>es have thematic similarities, Economics and F</w:t>
      </w:r>
      <w:r>
        <w:rPr>
          <w:rFonts w:ascii="Times New Roman" w:hAnsi="Times New Roman" w:cs="Times New Roman"/>
          <w:sz w:val="24"/>
          <w:szCs w:val="24"/>
        </w:rPr>
        <w:t xml:space="preserve">inance take a different approach to teaching the content. Furthermore, professor </w:t>
      </w:r>
      <w:proofErr w:type="spellStart"/>
      <w:r>
        <w:rPr>
          <w:rFonts w:ascii="Times New Roman" w:hAnsi="Times New Roman" w:cs="Times New Roman"/>
          <w:sz w:val="24"/>
          <w:szCs w:val="24"/>
        </w:rPr>
        <w:t>Brandl</w:t>
      </w:r>
      <w:proofErr w:type="spellEnd"/>
      <w:r>
        <w:rPr>
          <w:rFonts w:ascii="Times New Roman" w:hAnsi="Times New Roman" w:cs="Times New Roman"/>
          <w:sz w:val="24"/>
          <w:szCs w:val="24"/>
        </w:rPr>
        <w:t xml:space="preserve"> makes the argument that Business Finance is taught by outside instructors. Additionally, the courses are designed for different sets of students, require different prerequisites, and are unlikely to compete for the same students. </w:t>
      </w:r>
    </w:p>
    <w:p w:rsidR="005154A3" w:rsidRDefault="005154A3" w:rsidP="005154A3">
      <w:pPr>
        <w:pStyle w:val="ListParagraph"/>
        <w:numPr>
          <w:ilvl w:val="1"/>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Panel needs the record of </w:t>
      </w:r>
      <w:r w:rsidRPr="00617891">
        <w:rPr>
          <w:rFonts w:ascii="Times New Roman" w:hAnsi="Times New Roman" w:cs="Times New Roman"/>
          <w:b/>
          <w:sz w:val="24"/>
          <w:szCs w:val="24"/>
        </w:rPr>
        <w:t xml:space="preserve">the follow-up conversations that occurred and the outcomes of any correspondence before proceeding. </w:t>
      </w:r>
    </w:p>
    <w:p w:rsidR="00114489" w:rsidRDefault="00114489" w:rsidP="00114489">
      <w:pPr>
        <w:pStyle w:val="ListParagraph"/>
        <w:numPr>
          <w:ilvl w:val="0"/>
          <w:numId w:val="6"/>
        </w:numPr>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Panel would like clarification on the required readings. Are students required to purchase a textbook or are selected chapters of textbooks available on Carmen? </w:t>
      </w:r>
      <w:r w:rsidR="00D203E2">
        <w:rPr>
          <w:rFonts w:ascii="Times New Roman" w:hAnsi="Times New Roman" w:cs="Times New Roman"/>
          <w:b/>
          <w:sz w:val="24"/>
          <w:szCs w:val="24"/>
        </w:rPr>
        <w:t xml:space="preserve">Some weeks list a few readings and others only list “TBA.” Provide more information on readings for all weeks and </w:t>
      </w:r>
      <w:r>
        <w:rPr>
          <w:rFonts w:ascii="Times New Roman" w:hAnsi="Times New Roman" w:cs="Times New Roman"/>
          <w:b/>
          <w:sz w:val="24"/>
          <w:szCs w:val="24"/>
        </w:rPr>
        <w:t xml:space="preserve">provide more information on any required textbooks. </w:t>
      </w:r>
    </w:p>
    <w:p w:rsidR="00114489" w:rsidRPr="00114489" w:rsidRDefault="00114489" w:rsidP="00114489">
      <w:pPr>
        <w:pStyle w:val="ListParagraph"/>
        <w:numPr>
          <w:ilvl w:val="0"/>
          <w:numId w:val="6"/>
        </w:numPr>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Provide a more detailed description of the writing assignments. </w:t>
      </w:r>
    </w:p>
    <w:p w:rsidR="005154A3" w:rsidRDefault="005154A3" w:rsidP="005154A3">
      <w:pPr>
        <w:pStyle w:val="ListParagraph"/>
        <w:numPr>
          <w:ilvl w:val="0"/>
          <w:numId w:val="6"/>
        </w:numPr>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Provide contact hours for the course</w:t>
      </w:r>
    </w:p>
    <w:p w:rsidR="005154A3" w:rsidRPr="005526EA" w:rsidRDefault="005154A3" w:rsidP="005154A3">
      <w:pPr>
        <w:pStyle w:val="ListParagraph"/>
        <w:numPr>
          <w:ilvl w:val="0"/>
          <w:numId w:val="6"/>
        </w:numPr>
        <w:spacing w:after="0" w:line="240" w:lineRule="auto"/>
        <w:ind w:left="1080"/>
        <w:rPr>
          <w:rFonts w:ascii="Times New Roman" w:hAnsi="Times New Roman" w:cs="Times New Roman"/>
          <w:b/>
          <w:sz w:val="24"/>
          <w:szCs w:val="24"/>
        </w:rPr>
      </w:pPr>
      <w:r w:rsidRPr="005526EA">
        <w:rPr>
          <w:rFonts w:ascii="Times New Roman" w:hAnsi="Times New Roman" w:cs="Times New Roman"/>
          <w:b/>
          <w:sz w:val="24"/>
          <w:szCs w:val="24"/>
        </w:rPr>
        <w:t xml:space="preserve">Disability </w:t>
      </w:r>
      <w:r w:rsidRPr="005526EA">
        <w:rPr>
          <w:rFonts w:ascii="Times New Roman" w:hAnsi="Times New Roman" w:cs="Times New Roman"/>
          <w:b/>
          <w:color w:val="222222"/>
          <w:sz w:val="24"/>
          <w:szCs w:val="24"/>
        </w:rPr>
        <w:t xml:space="preserve">statement includes former location in </w:t>
      </w:r>
      <w:proofErr w:type="spellStart"/>
      <w:r w:rsidRPr="005526EA">
        <w:rPr>
          <w:rFonts w:ascii="Times New Roman" w:hAnsi="Times New Roman" w:cs="Times New Roman"/>
          <w:b/>
          <w:color w:val="222222"/>
          <w:sz w:val="24"/>
          <w:szCs w:val="24"/>
        </w:rPr>
        <w:t>Pomerene</w:t>
      </w:r>
      <w:proofErr w:type="spellEnd"/>
      <w:r w:rsidRPr="005526EA">
        <w:rPr>
          <w:rFonts w:ascii="Times New Roman" w:hAnsi="Times New Roman" w:cs="Times New Roman"/>
          <w:b/>
          <w:color w:val="222222"/>
          <w:sz w:val="24"/>
          <w:szCs w:val="24"/>
        </w:rPr>
        <w:t xml:space="preserve"> Hall</w:t>
      </w:r>
      <w:r>
        <w:rPr>
          <w:rFonts w:ascii="Times New Roman" w:hAnsi="Times New Roman" w:cs="Times New Roman"/>
          <w:b/>
          <w:color w:val="222222"/>
          <w:sz w:val="24"/>
          <w:szCs w:val="24"/>
        </w:rPr>
        <w:t xml:space="preserve"> and a broken link to the Office of Disability Services</w:t>
      </w:r>
      <w:r w:rsidRPr="005526EA">
        <w:rPr>
          <w:rFonts w:ascii="Times New Roman" w:hAnsi="Times New Roman" w:cs="Times New Roman"/>
          <w:b/>
          <w:color w:val="222222"/>
          <w:sz w:val="24"/>
          <w:szCs w:val="24"/>
        </w:rPr>
        <w:t>. Please update to include current location i</w:t>
      </w:r>
      <w:r w:rsidRPr="005526EA">
        <w:rPr>
          <w:rFonts w:ascii="Times New Roman" w:hAnsi="Times New Roman" w:cs="Times New Roman"/>
          <w:b/>
          <w:sz w:val="24"/>
          <w:szCs w:val="24"/>
        </w:rPr>
        <w:t xml:space="preserve">n 098 Baker Hall, 113 W. 12th Avenue. See p. 15 of ASC Curriculum and Assessment Operations Manual </w:t>
      </w:r>
      <w:hyperlink r:id="rId6" w:history="1">
        <w:r w:rsidRPr="005526EA">
          <w:rPr>
            <w:rStyle w:val="Hyperlink"/>
            <w:rFonts w:ascii="Times New Roman" w:hAnsi="Times New Roman" w:cs="Times New Roman"/>
            <w:b/>
            <w:sz w:val="24"/>
            <w:szCs w:val="24"/>
          </w:rPr>
          <w:t>https://asccas.osu.edu/sites/asccas.osu.edu/files/ASC_CurrAssess_Operations_Manual.pdf</w:t>
        </w:r>
      </w:hyperlink>
    </w:p>
    <w:p w:rsidR="00114489" w:rsidRDefault="00114489" w:rsidP="00114489">
      <w:pPr>
        <w:pStyle w:val="ListParagraph"/>
        <w:numPr>
          <w:ilvl w:val="0"/>
          <w:numId w:val="6"/>
        </w:numPr>
        <w:ind w:left="1080"/>
        <w:rPr>
          <w:rFonts w:ascii="Times New Roman" w:eastAsia="Times New Roman" w:hAnsi="Times New Roman" w:cs="Times New Roman"/>
          <w:i/>
          <w:sz w:val="24"/>
          <w:szCs w:val="24"/>
        </w:rPr>
      </w:pPr>
      <w:r w:rsidRPr="00114489">
        <w:rPr>
          <w:rFonts w:ascii="Times New Roman" w:hAnsi="Times New Roman" w:cs="Times New Roman"/>
          <w:i/>
          <w:sz w:val="24"/>
          <w:szCs w:val="24"/>
        </w:rPr>
        <w:t>Recommendation: The prerequisite for the course currently states “</w:t>
      </w:r>
      <w:r w:rsidRPr="00114489">
        <w:rPr>
          <w:rFonts w:ascii="Times New Roman" w:eastAsia="Times New Roman" w:hAnsi="Times New Roman" w:cs="Times New Roman"/>
          <w:i/>
          <w:sz w:val="24"/>
          <w:szCs w:val="24"/>
        </w:rPr>
        <w:t>ECON 5261and ECON 4001.01, 4001.02, or 4001.03, and 4002.01, 4002.02, or 4002.03, and Math 1151, 1152, 1161, or 2182H, or equiv.; or Grad standing.” The wording of the prerequisite leaves the option for graduate students who have not taken Econ 5261 to enroll in Econ 5262. The panel recommends changing the prerequisite to just “ECON 5261,” unless it is intentional</w:t>
      </w:r>
      <w:r w:rsidR="00C91012">
        <w:rPr>
          <w:rFonts w:ascii="Times New Roman" w:eastAsia="Times New Roman" w:hAnsi="Times New Roman" w:cs="Times New Roman"/>
          <w:i/>
          <w:sz w:val="24"/>
          <w:szCs w:val="24"/>
        </w:rPr>
        <w:t xml:space="preserve"> to</w:t>
      </w:r>
      <w:r w:rsidRPr="00114489">
        <w:rPr>
          <w:rFonts w:ascii="Times New Roman" w:eastAsia="Times New Roman" w:hAnsi="Times New Roman" w:cs="Times New Roman"/>
          <w:i/>
          <w:sz w:val="24"/>
          <w:szCs w:val="24"/>
        </w:rPr>
        <w:t xml:space="preserve"> allow graduate students to enroll without this prerequisite. </w:t>
      </w:r>
    </w:p>
    <w:p w:rsidR="00D203E2" w:rsidRPr="00D203E2" w:rsidRDefault="00D203E2" w:rsidP="00D203E2">
      <w:pPr>
        <w:pStyle w:val="ListParagraph"/>
        <w:numPr>
          <w:ilvl w:val="0"/>
          <w:numId w:val="6"/>
        </w:numPr>
        <w:spacing w:after="0" w:line="240" w:lineRule="auto"/>
        <w:ind w:left="1080"/>
        <w:rPr>
          <w:rFonts w:ascii="Times New Roman" w:hAnsi="Times New Roman" w:cs="Times New Roman"/>
          <w:b/>
          <w:sz w:val="24"/>
          <w:szCs w:val="24"/>
        </w:rPr>
      </w:pPr>
      <w:r>
        <w:rPr>
          <w:rFonts w:ascii="Times New Roman" w:hAnsi="Times New Roman" w:cs="Times New Roman"/>
          <w:i/>
          <w:sz w:val="24"/>
          <w:szCs w:val="24"/>
        </w:rPr>
        <w:t xml:space="preserve">Panel comment: While it is ultimately the decision of the professor teaching the course, the panel is concerned that students are being graded relative to other students and not by their own work. The syllabus indicates that generally a certain percent of students will receive As, </w:t>
      </w:r>
      <w:proofErr w:type="spellStart"/>
      <w:r>
        <w:rPr>
          <w:rFonts w:ascii="Times New Roman" w:hAnsi="Times New Roman" w:cs="Times New Roman"/>
          <w:i/>
          <w:sz w:val="24"/>
          <w:szCs w:val="24"/>
        </w:rPr>
        <w:t>Bs</w:t>
      </w:r>
      <w:proofErr w:type="spellEnd"/>
      <w:r>
        <w:rPr>
          <w:rFonts w:ascii="Times New Roman" w:hAnsi="Times New Roman" w:cs="Times New Roman"/>
          <w:i/>
          <w:sz w:val="24"/>
          <w:szCs w:val="24"/>
        </w:rPr>
        <w:t xml:space="preserve">, Cs, Ds and </w:t>
      </w:r>
      <w:proofErr w:type="spellStart"/>
      <w:r>
        <w:rPr>
          <w:rFonts w:ascii="Times New Roman" w:hAnsi="Times New Roman" w:cs="Times New Roman"/>
          <w:i/>
          <w:sz w:val="24"/>
          <w:szCs w:val="24"/>
        </w:rPr>
        <w:t>Es</w:t>
      </w:r>
      <w:proofErr w:type="spellEnd"/>
      <w:r>
        <w:rPr>
          <w:rFonts w:ascii="Times New Roman" w:hAnsi="Times New Roman" w:cs="Times New Roman"/>
          <w:i/>
          <w:sz w:val="24"/>
          <w:szCs w:val="24"/>
        </w:rPr>
        <w:t xml:space="preserve">. </w:t>
      </w:r>
    </w:p>
    <w:p w:rsidR="006C7B7B" w:rsidRPr="006C7B7B" w:rsidRDefault="006C7B7B" w:rsidP="00114489">
      <w:pPr>
        <w:pStyle w:val="ListParagraph"/>
        <w:numPr>
          <w:ilvl w:val="0"/>
          <w:numId w:val="6"/>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No vote </w:t>
      </w:r>
    </w:p>
    <w:p w:rsidR="006C7B7B" w:rsidRPr="00B877E2" w:rsidRDefault="006C7B7B" w:rsidP="006C7B7B">
      <w:pPr>
        <w:pStyle w:val="ListParagraph"/>
        <w:spacing w:after="0" w:line="240" w:lineRule="auto"/>
        <w:rPr>
          <w:rFonts w:ascii="Times New Roman" w:hAnsi="Times New Roman" w:cs="Times New Roman"/>
          <w:sz w:val="24"/>
          <w:szCs w:val="24"/>
        </w:rPr>
      </w:pPr>
    </w:p>
    <w:p w:rsidR="000C2070" w:rsidRDefault="000C2070" w:rsidP="000C2070">
      <w:pPr>
        <w:numPr>
          <w:ilvl w:val="0"/>
          <w:numId w:val="3"/>
        </w:numPr>
        <w:spacing w:after="0" w:line="240" w:lineRule="auto"/>
        <w:rPr>
          <w:rFonts w:ascii="Times New Roman" w:hAnsi="Times New Roman" w:cs="Times New Roman"/>
          <w:sz w:val="24"/>
          <w:szCs w:val="24"/>
        </w:rPr>
      </w:pPr>
      <w:r w:rsidRPr="000C2070">
        <w:rPr>
          <w:rFonts w:ascii="Times New Roman" w:hAnsi="Times New Roman" w:cs="Times New Roman"/>
          <w:sz w:val="24"/>
          <w:szCs w:val="24"/>
        </w:rPr>
        <w:t xml:space="preserve">SHS 6150 (course change) </w:t>
      </w:r>
    </w:p>
    <w:p w:rsidR="00E72157" w:rsidRDefault="00E72157" w:rsidP="00E72157">
      <w:pPr>
        <w:pStyle w:val="ListParagraph"/>
        <w:numPr>
          <w:ilvl w:val="0"/>
          <w:numId w:val="6"/>
        </w:numPr>
        <w:spacing w:after="0"/>
        <w:ind w:left="1080"/>
        <w:rPr>
          <w:rFonts w:ascii="Times New Roman" w:hAnsi="Times New Roman" w:cs="Times New Roman"/>
          <w:sz w:val="24"/>
          <w:szCs w:val="24"/>
        </w:rPr>
      </w:pPr>
      <w:r>
        <w:rPr>
          <w:rFonts w:ascii="Times New Roman" w:hAnsi="Times New Roman" w:cs="Times New Roman"/>
          <w:sz w:val="24"/>
          <w:szCs w:val="24"/>
        </w:rPr>
        <w:t>Request to change course content and title after approval of SHS 6860</w:t>
      </w:r>
    </w:p>
    <w:p w:rsidR="00E72157" w:rsidRPr="00E72157" w:rsidRDefault="00E72157" w:rsidP="00E72157">
      <w:pPr>
        <w:pStyle w:val="ListParagraph"/>
        <w:numPr>
          <w:ilvl w:val="0"/>
          <w:numId w:val="6"/>
        </w:numPr>
        <w:spacing w:after="0"/>
        <w:ind w:left="1080"/>
        <w:rPr>
          <w:rFonts w:ascii="Times New Roman" w:hAnsi="Times New Roman" w:cs="Times New Roman"/>
          <w:sz w:val="24"/>
          <w:szCs w:val="24"/>
        </w:rPr>
      </w:pPr>
      <w:r>
        <w:rPr>
          <w:rFonts w:ascii="Times New Roman" w:hAnsi="Times New Roman" w:cs="Times New Roman"/>
          <w:i/>
          <w:sz w:val="24"/>
          <w:szCs w:val="24"/>
        </w:rPr>
        <w:t>On week 14 of the course schedule, Thanksgiving break is listed on Tuesday instead of Thursday</w:t>
      </w:r>
    </w:p>
    <w:p w:rsidR="00AC13C4" w:rsidRPr="00E72157" w:rsidRDefault="00AC13C4" w:rsidP="006F618C">
      <w:pPr>
        <w:pStyle w:val="ListParagraph"/>
        <w:numPr>
          <w:ilvl w:val="0"/>
          <w:numId w:val="6"/>
        </w:numPr>
        <w:spacing w:after="0"/>
        <w:ind w:left="1080"/>
        <w:rPr>
          <w:rFonts w:ascii="Times New Roman" w:hAnsi="Times New Roman" w:cs="Times New Roman"/>
          <w:b/>
          <w:sz w:val="24"/>
          <w:szCs w:val="24"/>
        </w:rPr>
      </w:pPr>
      <w:r>
        <w:rPr>
          <w:rFonts w:ascii="Times New Roman" w:hAnsi="Times New Roman" w:cs="Times New Roman"/>
          <w:sz w:val="24"/>
          <w:szCs w:val="24"/>
        </w:rPr>
        <w:t xml:space="preserve">Givens, Kline, </w:t>
      </w:r>
      <w:r w:rsidR="00E72157" w:rsidRPr="00E72157">
        <w:rPr>
          <w:rFonts w:ascii="Times New Roman" w:hAnsi="Times New Roman" w:cs="Times New Roman"/>
          <w:b/>
          <w:sz w:val="24"/>
          <w:szCs w:val="24"/>
        </w:rPr>
        <w:t>unanimously approved</w:t>
      </w:r>
      <w:r w:rsidR="00E72157">
        <w:rPr>
          <w:rFonts w:ascii="Times New Roman" w:hAnsi="Times New Roman" w:cs="Times New Roman"/>
          <w:b/>
          <w:sz w:val="24"/>
          <w:szCs w:val="24"/>
        </w:rPr>
        <w:t xml:space="preserve"> </w:t>
      </w:r>
      <w:r w:rsidR="00E72157">
        <w:rPr>
          <w:rFonts w:ascii="Times New Roman" w:hAnsi="Times New Roman" w:cs="Times New Roman"/>
          <w:sz w:val="24"/>
          <w:szCs w:val="24"/>
        </w:rPr>
        <w:t xml:space="preserve">with </w:t>
      </w:r>
      <w:r w:rsidR="00E72157">
        <w:rPr>
          <w:rFonts w:ascii="Times New Roman" w:hAnsi="Times New Roman" w:cs="Times New Roman"/>
          <w:i/>
          <w:sz w:val="24"/>
          <w:szCs w:val="24"/>
        </w:rPr>
        <w:t>one recommendation (in italics)</w:t>
      </w:r>
    </w:p>
    <w:p w:rsidR="00AC13C4" w:rsidRPr="00AC13C4" w:rsidRDefault="00AC13C4" w:rsidP="00AC13C4">
      <w:pPr>
        <w:spacing w:after="0"/>
        <w:rPr>
          <w:rFonts w:ascii="Times New Roman" w:hAnsi="Times New Roman" w:cs="Times New Roman"/>
          <w:sz w:val="24"/>
          <w:szCs w:val="24"/>
        </w:rPr>
      </w:pPr>
    </w:p>
    <w:p w:rsidR="00187441" w:rsidRDefault="000C2070" w:rsidP="000C2070">
      <w:pPr>
        <w:pStyle w:val="ListParagraph"/>
        <w:numPr>
          <w:ilvl w:val="0"/>
          <w:numId w:val="3"/>
        </w:numPr>
        <w:shd w:val="clear" w:color="auto" w:fill="FFFFFF"/>
        <w:spacing w:after="0" w:line="240" w:lineRule="auto"/>
        <w:ind w:right="360"/>
        <w:contextualSpacing w:val="0"/>
        <w:textAlignment w:val="baseline"/>
        <w:rPr>
          <w:rFonts w:ascii="Times New Roman" w:hAnsi="Times New Roman" w:cs="Times New Roman"/>
          <w:sz w:val="24"/>
          <w:szCs w:val="24"/>
        </w:rPr>
      </w:pPr>
      <w:r w:rsidRPr="000C2070">
        <w:rPr>
          <w:rFonts w:ascii="Times New Roman" w:hAnsi="Times New Roman" w:cs="Times New Roman"/>
          <w:sz w:val="24"/>
          <w:szCs w:val="24"/>
        </w:rPr>
        <w:t>Continue working on rubric for GE Social Science—Individuals and Groups</w:t>
      </w:r>
    </w:p>
    <w:p w:rsidR="000C2070" w:rsidRDefault="00AC13C4" w:rsidP="000C2070">
      <w:pPr>
        <w:pStyle w:val="ListParagraph"/>
        <w:numPr>
          <w:ilvl w:val="0"/>
          <w:numId w:val="4"/>
        </w:numPr>
        <w:shd w:val="clear" w:color="auto" w:fill="FFFFFF"/>
        <w:spacing w:after="0" w:line="240" w:lineRule="auto"/>
        <w:ind w:left="1080" w:right="360"/>
        <w:textAlignment w:val="baseline"/>
        <w:rPr>
          <w:rFonts w:ascii="Times New Roman" w:hAnsi="Times New Roman" w:cs="Times New Roman"/>
          <w:sz w:val="24"/>
          <w:szCs w:val="24"/>
        </w:rPr>
      </w:pPr>
      <w:r>
        <w:rPr>
          <w:rFonts w:ascii="Times New Roman" w:hAnsi="Times New Roman" w:cs="Times New Roman"/>
          <w:sz w:val="24"/>
          <w:szCs w:val="24"/>
        </w:rPr>
        <w:t xml:space="preserve">Develop generic rubrics to be used for GE assessment </w:t>
      </w:r>
      <w:r w:rsidR="00E97005">
        <w:rPr>
          <w:rFonts w:ascii="Times New Roman" w:hAnsi="Times New Roman" w:cs="Times New Roman"/>
          <w:sz w:val="24"/>
          <w:szCs w:val="24"/>
        </w:rPr>
        <w:t xml:space="preserve">moving forward </w:t>
      </w:r>
    </w:p>
    <w:p w:rsidR="00E97005" w:rsidRDefault="00E97005" w:rsidP="000C2070">
      <w:pPr>
        <w:pStyle w:val="ListParagraph"/>
        <w:numPr>
          <w:ilvl w:val="0"/>
          <w:numId w:val="4"/>
        </w:numPr>
        <w:shd w:val="clear" w:color="auto" w:fill="FFFFFF"/>
        <w:spacing w:after="0" w:line="240" w:lineRule="auto"/>
        <w:ind w:left="1080" w:right="360"/>
        <w:textAlignment w:val="baseline"/>
        <w:rPr>
          <w:rFonts w:ascii="Times New Roman" w:hAnsi="Times New Roman" w:cs="Times New Roman"/>
          <w:sz w:val="24"/>
          <w:szCs w:val="24"/>
        </w:rPr>
      </w:pPr>
      <w:r>
        <w:rPr>
          <w:rFonts w:ascii="Times New Roman" w:hAnsi="Times New Roman" w:cs="Times New Roman"/>
          <w:sz w:val="24"/>
          <w:szCs w:val="24"/>
        </w:rPr>
        <w:t>ELO1 det</w:t>
      </w:r>
      <w:r w:rsidR="00396757">
        <w:rPr>
          <w:rFonts w:ascii="Times New Roman" w:hAnsi="Times New Roman" w:cs="Times New Roman"/>
          <w:sz w:val="24"/>
          <w:szCs w:val="24"/>
        </w:rPr>
        <w:t>ermined for all three GE Social Science categories</w:t>
      </w:r>
      <w:r w:rsidR="00D06134">
        <w:rPr>
          <w:rFonts w:ascii="Times New Roman" w:hAnsi="Times New Roman" w:cs="Times New Roman"/>
          <w:sz w:val="24"/>
          <w:szCs w:val="24"/>
        </w:rPr>
        <w:t xml:space="preserve"> at past meeting and p</w:t>
      </w:r>
      <w:r w:rsidR="009F1BA5">
        <w:rPr>
          <w:rFonts w:ascii="Times New Roman" w:hAnsi="Times New Roman" w:cs="Times New Roman"/>
          <w:sz w:val="24"/>
          <w:szCs w:val="24"/>
        </w:rPr>
        <w:t>anel</w:t>
      </w:r>
      <w:r>
        <w:rPr>
          <w:rFonts w:ascii="Times New Roman" w:hAnsi="Times New Roman" w:cs="Times New Roman"/>
          <w:sz w:val="24"/>
          <w:szCs w:val="24"/>
        </w:rPr>
        <w:t xml:space="preserve"> started on ELO2 </w:t>
      </w:r>
    </w:p>
    <w:p w:rsidR="009F1BA5" w:rsidRPr="001720ED" w:rsidRDefault="009F1BA5" w:rsidP="001720ED">
      <w:pPr>
        <w:pStyle w:val="ListParagraph"/>
        <w:numPr>
          <w:ilvl w:val="1"/>
          <w:numId w:val="4"/>
        </w:numPr>
        <w:shd w:val="clear" w:color="auto" w:fill="FFFFFF"/>
        <w:spacing w:after="0" w:line="240" w:lineRule="auto"/>
        <w:ind w:right="360"/>
        <w:textAlignment w:val="baseline"/>
        <w:rPr>
          <w:rFonts w:asciiTheme="majorBidi" w:hAnsiTheme="majorBidi" w:cstheme="majorBidi"/>
          <w:sz w:val="24"/>
          <w:szCs w:val="24"/>
        </w:rPr>
      </w:pPr>
      <w:r>
        <w:rPr>
          <w:rFonts w:ascii="Times New Roman" w:hAnsi="Times New Roman" w:cs="Times New Roman"/>
          <w:sz w:val="24"/>
          <w:szCs w:val="24"/>
        </w:rPr>
        <w:t xml:space="preserve">Will revisit ELO1 to address potential issues in </w:t>
      </w:r>
      <w:r w:rsidRPr="001720ED">
        <w:rPr>
          <w:rFonts w:asciiTheme="majorBidi" w:hAnsiTheme="majorBidi" w:cstheme="majorBidi"/>
          <w:sz w:val="24"/>
          <w:szCs w:val="24"/>
        </w:rPr>
        <w:t>wording</w:t>
      </w:r>
      <w:r w:rsidR="001720ED" w:rsidRPr="001720ED">
        <w:rPr>
          <w:rFonts w:asciiTheme="majorBidi" w:hAnsiTheme="majorBidi" w:cstheme="majorBidi"/>
          <w:sz w:val="24"/>
          <w:szCs w:val="24"/>
        </w:rPr>
        <w:t xml:space="preserve"> for Capstone (4) and Milestone (3).</w:t>
      </w:r>
    </w:p>
    <w:p w:rsidR="00993C5A" w:rsidRPr="000C2070" w:rsidRDefault="00993C5A" w:rsidP="000C2070">
      <w:pPr>
        <w:pStyle w:val="ListParagraph"/>
        <w:numPr>
          <w:ilvl w:val="0"/>
          <w:numId w:val="4"/>
        </w:numPr>
        <w:shd w:val="clear" w:color="auto" w:fill="FFFFFF"/>
        <w:spacing w:after="0" w:line="240" w:lineRule="auto"/>
        <w:ind w:left="1080" w:right="360"/>
        <w:textAlignment w:val="baseline"/>
        <w:rPr>
          <w:rFonts w:ascii="Times New Roman" w:hAnsi="Times New Roman" w:cs="Times New Roman"/>
          <w:sz w:val="24"/>
          <w:szCs w:val="24"/>
        </w:rPr>
      </w:pPr>
      <w:r>
        <w:rPr>
          <w:rFonts w:ascii="Times New Roman" w:hAnsi="Times New Roman" w:cs="Times New Roman"/>
          <w:sz w:val="24"/>
          <w:szCs w:val="24"/>
        </w:rPr>
        <w:t>Panel will put rubrics on agenda</w:t>
      </w:r>
      <w:r w:rsidR="0026401E">
        <w:rPr>
          <w:rFonts w:ascii="Times New Roman" w:hAnsi="Times New Roman" w:cs="Times New Roman"/>
          <w:sz w:val="24"/>
          <w:szCs w:val="24"/>
        </w:rPr>
        <w:t xml:space="preserve"> for future meeting date</w:t>
      </w:r>
      <w:r w:rsidR="00D06134">
        <w:rPr>
          <w:rFonts w:ascii="Times New Roman" w:hAnsi="Times New Roman" w:cs="Times New Roman"/>
          <w:sz w:val="24"/>
          <w:szCs w:val="24"/>
        </w:rPr>
        <w:t xml:space="preserve">, preferably with an entire meeting designated to working on rubrics </w:t>
      </w:r>
    </w:p>
    <w:sectPr w:rsidR="00993C5A" w:rsidRPr="000C2070" w:rsidSect="00E61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66D1C"/>
    <w:multiLevelType w:val="hybridMultilevel"/>
    <w:tmpl w:val="51EAF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B547E"/>
    <w:multiLevelType w:val="multilevel"/>
    <w:tmpl w:val="6C2A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1327B"/>
    <w:multiLevelType w:val="hybridMultilevel"/>
    <w:tmpl w:val="3C504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D867D4"/>
    <w:multiLevelType w:val="hybridMultilevel"/>
    <w:tmpl w:val="C8480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137BFF"/>
    <w:multiLevelType w:val="hybridMultilevel"/>
    <w:tmpl w:val="8EF4A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DA26B0"/>
    <w:multiLevelType w:val="hybridMultilevel"/>
    <w:tmpl w:val="B3F4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2750A"/>
    <w:multiLevelType w:val="hybridMultilevel"/>
    <w:tmpl w:val="6268B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070"/>
    <w:rsid w:val="00061265"/>
    <w:rsid w:val="000C2070"/>
    <w:rsid w:val="00114489"/>
    <w:rsid w:val="00142989"/>
    <w:rsid w:val="001720ED"/>
    <w:rsid w:val="0017286A"/>
    <w:rsid w:val="0025414E"/>
    <w:rsid w:val="0026401E"/>
    <w:rsid w:val="0029453E"/>
    <w:rsid w:val="002D4583"/>
    <w:rsid w:val="00396757"/>
    <w:rsid w:val="00490292"/>
    <w:rsid w:val="005154A3"/>
    <w:rsid w:val="005526EA"/>
    <w:rsid w:val="00617891"/>
    <w:rsid w:val="006C7B7B"/>
    <w:rsid w:val="006F618C"/>
    <w:rsid w:val="00737233"/>
    <w:rsid w:val="0075765E"/>
    <w:rsid w:val="008464E0"/>
    <w:rsid w:val="008B26F1"/>
    <w:rsid w:val="008C0BD2"/>
    <w:rsid w:val="008D6E1D"/>
    <w:rsid w:val="00940EBC"/>
    <w:rsid w:val="00941496"/>
    <w:rsid w:val="00993C5A"/>
    <w:rsid w:val="009A105D"/>
    <w:rsid w:val="009F1BA5"/>
    <w:rsid w:val="00AC13C4"/>
    <w:rsid w:val="00B15375"/>
    <w:rsid w:val="00B877E2"/>
    <w:rsid w:val="00C91012"/>
    <w:rsid w:val="00D06134"/>
    <w:rsid w:val="00D203E2"/>
    <w:rsid w:val="00DF6C59"/>
    <w:rsid w:val="00E72157"/>
    <w:rsid w:val="00E970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7365A-F3AD-440A-A6E6-B411DE98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070"/>
    <w:pPr>
      <w:ind w:left="720"/>
      <w:contextualSpacing/>
    </w:pPr>
  </w:style>
  <w:style w:type="paragraph" w:styleId="NormalWeb">
    <w:name w:val="Normal (Web)"/>
    <w:basedOn w:val="Normal"/>
    <w:uiPriority w:val="99"/>
    <w:rsid w:val="000C2070"/>
    <w:pPr>
      <w:suppressAutoHyphens/>
      <w:spacing w:before="280" w:after="280" w:line="240" w:lineRule="auto"/>
    </w:pPr>
    <w:rPr>
      <w:rFonts w:ascii="Times New Roman" w:eastAsia="Times New Roman" w:hAnsi="Times New Roman" w:cs="Times New Roman"/>
      <w:sz w:val="24"/>
      <w:szCs w:val="24"/>
      <w:lang w:eastAsia="zh-CN"/>
    </w:rPr>
  </w:style>
  <w:style w:type="character" w:styleId="Hyperlink">
    <w:name w:val="Hyperlink"/>
    <w:rsid w:val="005526EA"/>
    <w:rPr>
      <w:color w:val="0000FF"/>
      <w:u w:val="single"/>
    </w:rPr>
  </w:style>
  <w:style w:type="paragraph" w:styleId="BalloonText">
    <w:name w:val="Balloon Text"/>
    <w:basedOn w:val="Normal"/>
    <w:link w:val="BalloonTextChar"/>
    <w:uiPriority w:val="99"/>
    <w:semiHidden/>
    <w:unhideWhenUsed/>
    <w:rsid w:val="00846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872304">
      <w:bodyDiv w:val="1"/>
      <w:marLeft w:val="0"/>
      <w:marRight w:val="0"/>
      <w:marTop w:val="0"/>
      <w:marBottom w:val="0"/>
      <w:divBdr>
        <w:top w:val="none" w:sz="0" w:space="0" w:color="auto"/>
        <w:left w:val="none" w:sz="0" w:space="0" w:color="auto"/>
        <w:bottom w:val="none" w:sz="0" w:space="0" w:color="auto"/>
        <w:right w:val="none" w:sz="0" w:space="0" w:color="auto"/>
      </w:divBdr>
      <w:divsChild>
        <w:div w:id="182591524">
          <w:marLeft w:val="0"/>
          <w:marRight w:val="0"/>
          <w:marTop w:val="0"/>
          <w:marBottom w:val="0"/>
          <w:divBdr>
            <w:top w:val="none" w:sz="0" w:space="0" w:color="auto"/>
            <w:left w:val="none" w:sz="0" w:space="0" w:color="auto"/>
            <w:bottom w:val="none" w:sz="0" w:space="0" w:color="auto"/>
            <w:right w:val="none" w:sz="0" w:space="0" w:color="auto"/>
          </w:divBdr>
        </w:div>
        <w:div w:id="558786705">
          <w:marLeft w:val="0"/>
          <w:marRight w:val="0"/>
          <w:marTop w:val="0"/>
          <w:marBottom w:val="0"/>
          <w:divBdr>
            <w:top w:val="none" w:sz="0" w:space="0" w:color="auto"/>
            <w:left w:val="none" w:sz="0" w:space="0" w:color="auto"/>
            <w:bottom w:val="none" w:sz="0" w:space="0" w:color="auto"/>
            <w:right w:val="none" w:sz="0" w:space="0" w:color="auto"/>
          </w:divBdr>
        </w:div>
        <w:div w:id="589121332">
          <w:marLeft w:val="0"/>
          <w:marRight w:val="0"/>
          <w:marTop w:val="0"/>
          <w:marBottom w:val="0"/>
          <w:divBdr>
            <w:top w:val="none" w:sz="0" w:space="0" w:color="auto"/>
            <w:left w:val="none" w:sz="0" w:space="0" w:color="auto"/>
            <w:bottom w:val="none" w:sz="0" w:space="0" w:color="auto"/>
            <w:right w:val="none" w:sz="0" w:space="0" w:color="auto"/>
          </w:divBdr>
        </w:div>
        <w:div w:id="1096366307">
          <w:marLeft w:val="0"/>
          <w:marRight w:val="0"/>
          <w:marTop w:val="0"/>
          <w:marBottom w:val="0"/>
          <w:divBdr>
            <w:top w:val="none" w:sz="0" w:space="0" w:color="auto"/>
            <w:left w:val="none" w:sz="0" w:space="0" w:color="auto"/>
            <w:bottom w:val="none" w:sz="0" w:space="0" w:color="auto"/>
            <w:right w:val="none" w:sz="0" w:space="0" w:color="auto"/>
          </w:divBdr>
        </w:div>
        <w:div w:id="1696348206">
          <w:marLeft w:val="0"/>
          <w:marRight w:val="0"/>
          <w:marTop w:val="0"/>
          <w:marBottom w:val="0"/>
          <w:divBdr>
            <w:top w:val="none" w:sz="0" w:space="0" w:color="auto"/>
            <w:left w:val="none" w:sz="0" w:space="0" w:color="auto"/>
            <w:bottom w:val="none" w:sz="0" w:space="0" w:color="auto"/>
            <w:right w:val="none" w:sz="0" w:space="0" w:color="auto"/>
          </w:divBdr>
        </w:div>
        <w:div w:id="1244101598">
          <w:marLeft w:val="0"/>
          <w:marRight w:val="0"/>
          <w:marTop w:val="0"/>
          <w:marBottom w:val="0"/>
          <w:divBdr>
            <w:top w:val="none" w:sz="0" w:space="0" w:color="auto"/>
            <w:left w:val="none" w:sz="0" w:space="0" w:color="auto"/>
            <w:bottom w:val="none" w:sz="0" w:space="0" w:color="auto"/>
            <w:right w:val="none" w:sz="0" w:space="0" w:color="auto"/>
          </w:divBdr>
        </w:div>
        <w:div w:id="723942786">
          <w:marLeft w:val="0"/>
          <w:marRight w:val="0"/>
          <w:marTop w:val="0"/>
          <w:marBottom w:val="0"/>
          <w:divBdr>
            <w:top w:val="none" w:sz="0" w:space="0" w:color="auto"/>
            <w:left w:val="none" w:sz="0" w:space="0" w:color="auto"/>
            <w:bottom w:val="none" w:sz="0" w:space="0" w:color="auto"/>
            <w:right w:val="none" w:sz="0" w:space="0" w:color="auto"/>
          </w:divBdr>
        </w:div>
        <w:div w:id="402990377">
          <w:marLeft w:val="0"/>
          <w:marRight w:val="0"/>
          <w:marTop w:val="0"/>
          <w:marBottom w:val="0"/>
          <w:divBdr>
            <w:top w:val="none" w:sz="0" w:space="0" w:color="auto"/>
            <w:left w:val="none" w:sz="0" w:space="0" w:color="auto"/>
            <w:bottom w:val="none" w:sz="0" w:space="0" w:color="auto"/>
            <w:right w:val="none" w:sz="0" w:space="0" w:color="auto"/>
          </w:divBdr>
        </w:div>
      </w:divsChild>
    </w:div>
    <w:div w:id="1160387579">
      <w:bodyDiv w:val="1"/>
      <w:marLeft w:val="0"/>
      <w:marRight w:val="0"/>
      <w:marTop w:val="0"/>
      <w:marBottom w:val="0"/>
      <w:divBdr>
        <w:top w:val="none" w:sz="0" w:space="0" w:color="auto"/>
        <w:left w:val="none" w:sz="0" w:space="0" w:color="auto"/>
        <w:bottom w:val="none" w:sz="0" w:space="0" w:color="auto"/>
        <w:right w:val="none" w:sz="0" w:space="0" w:color="auto"/>
      </w:divBdr>
      <w:divsChild>
        <w:div w:id="1759717998">
          <w:marLeft w:val="0"/>
          <w:marRight w:val="0"/>
          <w:marTop w:val="0"/>
          <w:marBottom w:val="0"/>
          <w:divBdr>
            <w:top w:val="none" w:sz="0" w:space="0" w:color="auto"/>
            <w:left w:val="none" w:sz="0" w:space="0" w:color="auto"/>
            <w:bottom w:val="none" w:sz="0" w:space="0" w:color="auto"/>
            <w:right w:val="none" w:sz="0" w:space="0" w:color="auto"/>
          </w:divBdr>
          <w:divsChild>
            <w:div w:id="99180870">
              <w:marLeft w:val="0"/>
              <w:marRight w:val="0"/>
              <w:marTop w:val="0"/>
              <w:marBottom w:val="0"/>
              <w:divBdr>
                <w:top w:val="none" w:sz="0" w:space="0" w:color="auto"/>
                <w:left w:val="none" w:sz="0" w:space="0" w:color="auto"/>
                <w:bottom w:val="none" w:sz="0" w:space="0" w:color="auto"/>
                <w:right w:val="none" w:sz="0" w:space="0" w:color="auto"/>
              </w:divBdr>
              <w:divsChild>
                <w:div w:id="271323818">
                  <w:marLeft w:val="0"/>
                  <w:marRight w:val="0"/>
                  <w:marTop w:val="0"/>
                  <w:marBottom w:val="0"/>
                  <w:divBdr>
                    <w:top w:val="none" w:sz="0" w:space="0" w:color="auto"/>
                    <w:left w:val="none" w:sz="0" w:space="0" w:color="auto"/>
                    <w:bottom w:val="none" w:sz="0" w:space="0" w:color="auto"/>
                    <w:right w:val="none" w:sz="0" w:space="0" w:color="auto"/>
                  </w:divBdr>
                  <w:divsChild>
                    <w:div w:id="1447627115">
                      <w:marLeft w:val="0"/>
                      <w:marRight w:val="0"/>
                      <w:marTop w:val="0"/>
                      <w:marBottom w:val="0"/>
                      <w:divBdr>
                        <w:top w:val="none" w:sz="0" w:space="0" w:color="auto"/>
                        <w:left w:val="none" w:sz="0" w:space="0" w:color="auto"/>
                        <w:bottom w:val="none" w:sz="0" w:space="0" w:color="auto"/>
                        <w:right w:val="none" w:sz="0" w:space="0" w:color="auto"/>
                      </w:divBdr>
                    </w:div>
                    <w:div w:id="1490445756">
                      <w:marLeft w:val="0"/>
                      <w:marRight w:val="0"/>
                      <w:marTop w:val="0"/>
                      <w:marBottom w:val="0"/>
                      <w:divBdr>
                        <w:top w:val="none" w:sz="0" w:space="0" w:color="auto"/>
                        <w:left w:val="none" w:sz="0" w:space="0" w:color="auto"/>
                        <w:bottom w:val="none" w:sz="0" w:space="0" w:color="auto"/>
                        <w:right w:val="none" w:sz="0" w:space="0" w:color="auto"/>
                      </w:divBdr>
                    </w:div>
                    <w:div w:id="3316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167325">
      <w:bodyDiv w:val="1"/>
      <w:marLeft w:val="0"/>
      <w:marRight w:val="0"/>
      <w:marTop w:val="0"/>
      <w:marBottom w:val="0"/>
      <w:divBdr>
        <w:top w:val="none" w:sz="0" w:space="0" w:color="auto"/>
        <w:left w:val="none" w:sz="0" w:space="0" w:color="auto"/>
        <w:bottom w:val="none" w:sz="0" w:space="0" w:color="auto"/>
        <w:right w:val="none" w:sz="0" w:space="0" w:color="auto"/>
      </w:divBdr>
      <w:divsChild>
        <w:div w:id="1452018400">
          <w:marLeft w:val="0"/>
          <w:marRight w:val="0"/>
          <w:marTop w:val="0"/>
          <w:marBottom w:val="0"/>
          <w:divBdr>
            <w:top w:val="none" w:sz="0" w:space="0" w:color="auto"/>
            <w:left w:val="none" w:sz="0" w:space="0" w:color="auto"/>
            <w:bottom w:val="none" w:sz="0" w:space="0" w:color="auto"/>
            <w:right w:val="none" w:sz="0" w:space="0" w:color="auto"/>
          </w:divBdr>
          <w:divsChild>
            <w:div w:id="1642879885">
              <w:marLeft w:val="0"/>
              <w:marRight w:val="0"/>
              <w:marTop w:val="0"/>
              <w:marBottom w:val="0"/>
              <w:divBdr>
                <w:top w:val="none" w:sz="0" w:space="0" w:color="auto"/>
                <w:left w:val="none" w:sz="0" w:space="0" w:color="auto"/>
                <w:bottom w:val="none" w:sz="0" w:space="0" w:color="auto"/>
                <w:right w:val="none" w:sz="0" w:space="0" w:color="auto"/>
              </w:divBdr>
              <w:divsChild>
                <w:div w:id="1648440203">
                  <w:marLeft w:val="0"/>
                  <w:marRight w:val="0"/>
                  <w:marTop w:val="0"/>
                  <w:marBottom w:val="0"/>
                  <w:divBdr>
                    <w:top w:val="none" w:sz="0" w:space="0" w:color="auto"/>
                    <w:left w:val="none" w:sz="0" w:space="0" w:color="auto"/>
                    <w:bottom w:val="none" w:sz="0" w:space="0" w:color="auto"/>
                    <w:right w:val="none" w:sz="0" w:space="0" w:color="auto"/>
                  </w:divBdr>
                  <w:divsChild>
                    <w:div w:id="283509525">
                      <w:marLeft w:val="0"/>
                      <w:marRight w:val="0"/>
                      <w:marTop w:val="0"/>
                      <w:marBottom w:val="0"/>
                      <w:divBdr>
                        <w:top w:val="none" w:sz="0" w:space="0" w:color="auto"/>
                        <w:left w:val="none" w:sz="0" w:space="0" w:color="auto"/>
                        <w:bottom w:val="none" w:sz="0" w:space="0" w:color="auto"/>
                        <w:right w:val="none" w:sz="0" w:space="0" w:color="auto"/>
                      </w:divBdr>
                    </w:div>
                    <w:div w:id="970549558">
                      <w:marLeft w:val="0"/>
                      <w:marRight w:val="0"/>
                      <w:marTop w:val="0"/>
                      <w:marBottom w:val="0"/>
                      <w:divBdr>
                        <w:top w:val="none" w:sz="0" w:space="0" w:color="auto"/>
                        <w:left w:val="none" w:sz="0" w:space="0" w:color="auto"/>
                        <w:bottom w:val="none" w:sz="0" w:space="0" w:color="auto"/>
                        <w:right w:val="none" w:sz="0" w:space="0" w:color="auto"/>
                      </w:divBdr>
                    </w:div>
                    <w:div w:id="1631325488">
                      <w:marLeft w:val="0"/>
                      <w:marRight w:val="0"/>
                      <w:marTop w:val="0"/>
                      <w:marBottom w:val="0"/>
                      <w:divBdr>
                        <w:top w:val="none" w:sz="0" w:space="0" w:color="auto"/>
                        <w:left w:val="none" w:sz="0" w:space="0" w:color="auto"/>
                        <w:bottom w:val="none" w:sz="0" w:space="0" w:color="auto"/>
                        <w:right w:val="none" w:sz="0" w:space="0" w:color="auto"/>
                      </w:divBdr>
                    </w:div>
                    <w:div w:id="20210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cas.osu.edu/sites/asccas.osu.edu/files/ASC_CurrAssess_Operations_Manual.pdf" TargetMode="External"/><Relationship Id="rId5" Type="http://schemas.openxmlformats.org/officeDocument/2006/relationships/hyperlink" Target="https://asccas.osu.edu/sites/asccas.osu.edu/files/ASC_CurrAssess_Operations_Manu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Oldroyd, Shelby Q.</dc:creator>
  <cp:keywords/>
  <dc:description/>
  <cp:lastModifiedBy>Vankeerbergen, Bernadette</cp:lastModifiedBy>
  <cp:revision>2</cp:revision>
  <cp:lastPrinted>2017-02-08T14:15:00Z</cp:lastPrinted>
  <dcterms:created xsi:type="dcterms:W3CDTF">2017-03-01T18:17:00Z</dcterms:created>
  <dcterms:modified xsi:type="dcterms:W3CDTF">2017-03-01T18:17:00Z</dcterms:modified>
</cp:coreProperties>
</file>